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4DB" w:rsidRDefault="00C504DB" w:rsidP="00E35AD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086526">
        <w:rPr>
          <w:rFonts w:ascii="Times New Roman" w:hAnsi="Times New Roman" w:cs="Times New Roman"/>
          <w:sz w:val="28"/>
          <w:szCs w:val="28"/>
          <w:lang w:eastAsia="ru-RU"/>
        </w:rPr>
        <w:t>езультаты ре</w:t>
      </w:r>
      <w:r>
        <w:rPr>
          <w:rFonts w:ascii="Times New Roman" w:hAnsi="Times New Roman" w:cs="Times New Roman"/>
          <w:sz w:val="28"/>
          <w:szCs w:val="28"/>
          <w:lang w:eastAsia="ru-RU"/>
        </w:rPr>
        <w:t>йтинга</w:t>
      </w:r>
      <w:r w:rsidR="00491644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российских предприятий</w:t>
      </w:r>
    </w:p>
    <w:p w:rsidR="00E35AD8" w:rsidRPr="00086526" w:rsidRDefault="00E35AD8" w:rsidP="00C50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4DB" w:rsidRPr="00086526" w:rsidRDefault="00C504DB" w:rsidP="00C50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526">
        <w:rPr>
          <w:rFonts w:ascii="Times New Roman" w:hAnsi="Times New Roman" w:cs="Times New Roman"/>
          <w:sz w:val="28"/>
          <w:szCs w:val="28"/>
          <w:lang w:eastAsia="ru-RU"/>
        </w:rPr>
        <w:t>1)Экологические приоритеты. В топ-15 компаний с наименьшими выбросами парниковых газов от собственных источников относительно выручки ожидаемо попадают все компании финансового сектора и телекоммуникационные компании. Тем не менее на 10-м мес</w:t>
      </w:r>
      <w:r>
        <w:rPr>
          <w:rFonts w:ascii="Times New Roman" w:hAnsi="Times New Roman" w:cs="Times New Roman"/>
          <w:sz w:val="28"/>
          <w:szCs w:val="28"/>
          <w:lang w:eastAsia="ru-RU"/>
        </w:rPr>
        <w:t>те оказался ММК, на 11-м месте - «Каустик», на 13-м месте -</w:t>
      </w:r>
      <w:r w:rsidRPr="00086526">
        <w:rPr>
          <w:rFonts w:ascii="Times New Roman" w:hAnsi="Times New Roman" w:cs="Times New Roman"/>
          <w:sz w:val="28"/>
          <w:szCs w:val="28"/>
          <w:lang w:eastAsia="ru-RU"/>
        </w:rPr>
        <w:t xml:space="preserve"> «Красцветмет». В числе 15 худших по данному показате</w:t>
      </w:r>
      <w:r>
        <w:rPr>
          <w:rFonts w:ascii="Times New Roman" w:hAnsi="Times New Roman" w:cs="Times New Roman"/>
          <w:sz w:val="28"/>
          <w:szCs w:val="28"/>
          <w:lang w:eastAsia="ru-RU"/>
        </w:rPr>
        <w:t>лю -</w:t>
      </w:r>
      <w:r w:rsidRPr="00086526">
        <w:rPr>
          <w:rFonts w:ascii="Times New Roman" w:hAnsi="Times New Roman" w:cs="Times New Roman"/>
          <w:sz w:val="28"/>
          <w:szCs w:val="28"/>
          <w:lang w:eastAsia="ru-RU"/>
        </w:rPr>
        <w:t xml:space="preserve"> 7 металлургических компаний, наибольшие удельные выбросы парниковых газов ожидаемо приходятся на генерирующие компании.</w:t>
      </w:r>
    </w:p>
    <w:p w:rsidR="00C504DB" w:rsidRPr="00086526" w:rsidRDefault="00C504DB" w:rsidP="00C50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526">
        <w:rPr>
          <w:rFonts w:ascii="Times New Roman" w:hAnsi="Times New Roman" w:cs="Times New Roman"/>
          <w:sz w:val="28"/>
          <w:szCs w:val="28"/>
          <w:lang w:eastAsia="ru-RU"/>
        </w:rPr>
        <w:t>При этом бизнес активно реализует проекты, направленные на снижение объемов образования отходов и их переработку. Эти программы реализуются в рамках курса минимизации негативного воздействия на окружающую среду. Инициативы включают внедрение ресурсосберегающих технологий, электронного документооборота, практики фудшеринга, стимулирование сотрудников и представителей местных сообществ к раздельному сбору отходов, минимизацию использования пластика в упаковке, последующую ее переработку.</w:t>
      </w:r>
    </w:p>
    <w:p w:rsidR="00C504DB" w:rsidRPr="00086526" w:rsidRDefault="00C504DB" w:rsidP="00C50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Девять компаний-</w:t>
      </w:r>
      <w:r w:rsidRPr="00086526">
        <w:rPr>
          <w:rFonts w:ascii="Times New Roman" w:hAnsi="Times New Roman" w:cs="Times New Roman"/>
          <w:sz w:val="28"/>
          <w:szCs w:val="28"/>
          <w:lang w:eastAsia="ru-RU"/>
        </w:rPr>
        <w:t>участниц рейтинга используют в энергопотреблении десять и более процентов возобновляемой и низкоуг</w:t>
      </w:r>
      <w:r>
        <w:rPr>
          <w:rFonts w:ascii="Times New Roman" w:hAnsi="Times New Roman" w:cs="Times New Roman"/>
          <w:sz w:val="28"/>
          <w:szCs w:val="28"/>
          <w:lang w:eastAsia="ru-RU"/>
        </w:rPr>
        <w:t>леродной энергии. Из них шесть -</w:t>
      </w:r>
      <w:r w:rsidRPr="00086526">
        <w:rPr>
          <w:rFonts w:ascii="Times New Roman" w:hAnsi="Times New Roman" w:cs="Times New Roman"/>
          <w:sz w:val="28"/>
          <w:szCs w:val="28"/>
          <w:lang w:eastAsia="ru-RU"/>
        </w:rPr>
        <w:t xml:space="preserve"> крупные металлургические компании: «Полюс», «Эн+ Груп», РУСАЛ, «Норникель», АЛРОСА, «Красцветмет», две транспортные компании (РЖД и «ТрансКонтейнер»), энергетическая компания «РусГидро».</w:t>
      </w:r>
    </w:p>
    <w:p w:rsidR="00C504DB" w:rsidRPr="00086526" w:rsidRDefault="00C504DB" w:rsidP="00C50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526">
        <w:rPr>
          <w:rFonts w:ascii="Times New Roman" w:hAnsi="Times New Roman" w:cs="Times New Roman"/>
          <w:sz w:val="28"/>
          <w:szCs w:val="28"/>
          <w:lang w:eastAsia="ru-RU"/>
        </w:rPr>
        <w:t>2)Устойчивые бизнес-практики. Еще один срез анализа посвящен институционализации политики устойчивого развития (стратегические документы, связанные с устойчивым развитием, отсутствуют лишь у пяти участников рейтинга), антикоррупционной политике, инновационной активности, а также распространению практик устойчивого развития на всю цепочку поставок.</w:t>
      </w:r>
    </w:p>
    <w:p w:rsidR="00C504DB" w:rsidRPr="00086526" w:rsidRDefault="00C504DB" w:rsidP="00C50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52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качестве маркера существования у компании требован</w:t>
      </w:r>
      <w:r>
        <w:rPr>
          <w:rFonts w:ascii="Times New Roman" w:hAnsi="Times New Roman" w:cs="Times New Roman"/>
          <w:sz w:val="28"/>
          <w:szCs w:val="28"/>
          <w:lang w:eastAsia="ru-RU"/>
        </w:rPr>
        <w:t>ий к ESG-профилям поставщиков эксперты</w:t>
      </w:r>
      <w:r w:rsidRPr="00086526">
        <w:rPr>
          <w:rFonts w:ascii="Times New Roman" w:hAnsi="Times New Roman" w:cs="Times New Roman"/>
          <w:sz w:val="28"/>
          <w:szCs w:val="28"/>
          <w:lang w:eastAsia="ru-RU"/>
        </w:rPr>
        <w:t xml:space="preserve"> рассматривали наличие у нее расчетов выбросов парниковых газов по охвату 3, характеризующих выбросы парниковых газов по всей цепочке поставок. Оказал</w:t>
      </w:r>
      <w:r>
        <w:rPr>
          <w:rFonts w:ascii="Times New Roman" w:hAnsi="Times New Roman" w:cs="Times New Roman"/>
          <w:sz w:val="28"/>
          <w:szCs w:val="28"/>
          <w:lang w:eastAsia="ru-RU"/>
        </w:rPr>
        <w:t>ось, что только четыре отрасли -</w:t>
      </w:r>
      <w:r w:rsidRPr="00086526">
        <w:rPr>
          <w:rFonts w:ascii="Times New Roman" w:hAnsi="Times New Roman" w:cs="Times New Roman"/>
          <w:sz w:val="28"/>
          <w:szCs w:val="28"/>
          <w:lang w:eastAsia="ru-RU"/>
        </w:rPr>
        <w:t xml:space="preserve"> металлургическая, химическая, финансовая, товар</w:t>
      </w:r>
      <w:r>
        <w:rPr>
          <w:rFonts w:ascii="Times New Roman" w:hAnsi="Times New Roman" w:cs="Times New Roman"/>
          <w:sz w:val="28"/>
          <w:szCs w:val="28"/>
          <w:lang w:eastAsia="ru-RU"/>
        </w:rPr>
        <w:t>ы повседневного спроса (FMCG+) -</w:t>
      </w:r>
      <w:r w:rsidRPr="00086526">
        <w:rPr>
          <w:rFonts w:ascii="Times New Roman" w:hAnsi="Times New Roman" w:cs="Times New Roman"/>
          <w:sz w:val="28"/>
          <w:szCs w:val="28"/>
          <w:lang w:eastAsia="ru-RU"/>
        </w:rPr>
        <w:t xml:space="preserve"> в полном составе раскрывают информацию по выбросам парниковых газов, как прямых, так и косвенных. Охват 3 в среднем считают порядка 40,0</w:t>
      </w:r>
      <w:r>
        <w:rPr>
          <w:rFonts w:ascii="Times New Roman" w:hAnsi="Times New Roman" w:cs="Times New Roman"/>
          <w:sz w:val="28"/>
          <w:szCs w:val="28"/>
          <w:lang w:eastAsia="ru-RU"/>
        </w:rPr>
        <w:t>% компаний, и бо</w:t>
      </w:r>
      <w:r w:rsidRPr="00086526">
        <w:rPr>
          <w:rFonts w:ascii="Times New Roman" w:hAnsi="Times New Roman" w:cs="Times New Roman"/>
          <w:sz w:val="28"/>
          <w:szCs w:val="28"/>
          <w:lang w:eastAsia="ru-RU"/>
        </w:rPr>
        <w:t>льшая часть из них сосредоточена в металлургической, химической, финансовой, строительной отраслях (в каждой из этих отраслей доля компаний, считающих выбросы парниковых газов по охвату 3, составляет более 60,0%). Нерелевантным показатель расчета охвата 3 оказался для сетевых энергетически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х компаний -</w:t>
      </w:r>
      <w:r w:rsidRPr="00086526">
        <w:rPr>
          <w:rFonts w:ascii="Times New Roman" w:hAnsi="Times New Roman" w:cs="Times New Roman"/>
          <w:sz w:val="28"/>
          <w:szCs w:val="28"/>
          <w:lang w:eastAsia="ru-RU"/>
        </w:rPr>
        <w:t xml:space="preserve"> ни одна из них не ведет учета, а также для компаний телекоммуникационной сферы (таких оказалось только 20,0%).</w:t>
      </w:r>
    </w:p>
    <w:p w:rsidR="00C504DB" w:rsidRPr="00086526" w:rsidRDefault="00C504DB" w:rsidP="00C50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526">
        <w:rPr>
          <w:rFonts w:ascii="Times New Roman" w:hAnsi="Times New Roman" w:cs="Times New Roman"/>
          <w:sz w:val="28"/>
          <w:szCs w:val="28"/>
          <w:lang w:eastAsia="ru-RU"/>
        </w:rPr>
        <w:t>Стимулирование внедрения ESG-практик поставщиками и подрядчиками достигается с помощью установления соответствующих требований при закупках либо путем подписания кодекса ответственного поставщика.</w:t>
      </w:r>
    </w:p>
    <w:p w:rsidR="00C504DB" w:rsidRPr="00086526" w:rsidRDefault="00C504DB" w:rsidP="00C50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526">
        <w:rPr>
          <w:rFonts w:ascii="Times New Roman" w:hAnsi="Times New Roman" w:cs="Times New Roman"/>
          <w:sz w:val="28"/>
          <w:szCs w:val="28"/>
          <w:lang w:eastAsia="ru-RU"/>
        </w:rPr>
        <w:t>Новацией рейтинга стало включение данных, характеризующих изобретательскую активность компаний в контексте устойчивого развития. В ходе рейтинга были отобраны патенты на изобретения и полезные модели, заявки на которые были поданы в 2023 году. Преобладающая группа связана с достижением девятой цели устойчивого развития «Индустриализация, иннова</w:t>
      </w:r>
      <w:r>
        <w:rPr>
          <w:rFonts w:ascii="Times New Roman" w:hAnsi="Times New Roman" w:cs="Times New Roman"/>
          <w:sz w:val="28"/>
          <w:szCs w:val="28"/>
          <w:lang w:eastAsia="ru-RU"/>
        </w:rPr>
        <w:t>ции и инфраструктура» -</w:t>
      </w:r>
      <w:r w:rsidRPr="00086526">
        <w:rPr>
          <w:rFonts w:ascii="Times New Roman" w:hAnsi="Times New Roman" w:cs="Times New Roman"/>
          <w:sz w:val="28"/>
          <w:szCs w:val="28"/>
          <w:lang w:eastAsia="ru-RU"/>
        </w:rPr>
        <w:t xml:space="preserve"> она включает изобретения в области новых технологий и материалов, автоматизации производств, информационной и транспортной инфраструктуры.</w:t>
      </w:r>
    </w:p>
    <w:p w:rsidR="00C504DB" w:rsidRPr="00086526" w:rsidRDefault="00C504DB" w:rsidP="00C50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526">
        <w:rPr>
          <w:rFonts w:ascii="Times New Roman" w:hAnsi="Times New Roman" w:cs="Times New Roman"/>
          <w:sz w:val="28"/>
          <w:szCs w:val="28"/>
          <w:lang w:eastAsia="ru-RU"/>
        </w:rPr>
        <w:t xml:space="preserve">Инновационное направление в целом созвучно тематике устойчивого развития. Лидерами по числу «устойчивых» патентов стали компании нефтяного сектора «Газпром» и «Татнефть», в общей сложности создавшие за 2023 год более 500 инновационных разработок. За ними следуют РЖД </w:t>
      </w:r>
      <w:r w:rsidRPr="0008652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(более 80 патентов) и «Северсталь» (более 70 патентов). Наименее активными в отраслевом разрезе по данному направлению оказались компании из сектора FMCG+ и строительства.</w:t>
      </w:r>
    </w:p>
    <w:p w:rsidR="00C504DB" w:rsidRPr="00086526" w:rsidRDefault="00C504DB" w:rsidP="00C50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526">
        <w:rPr>
          <w:rFonts w:ascii="Times New Roman" w:hAnsi="Times New Roman" w:cs="Times New Roman"/>
          <w:sz w:val="28"/>
          <w:szCs w:val="28"/>
          <w:lang w:eastAsia="ru-RU"/>
        </w:rPr>
        <w:t>3)Горизонты устойчивости. В целом в России происходит довольно активное развитие ESG-стратегий бизнеса. Этому способствуют политика регуляторов, необходимость поиска новых граней привлекательности компаний в условиях дефицита кадров, а также требования инвесторов к устойчивости компаний.</w:t>
      </w:r>
    </w:p>
    <w:p w:rsidR="00C504DB" w:rsidRPr="00086526" w:rsidRDefault="00C504DB" w:rsidP="00C50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526">
        <w:rPr>
          <w:rFonts w:ascii="Times New Roman" w:hAnsi="Times New Roman" w:cs="Times New Roman"/>
          <w:sz w:val="28"/>
          <w:szCs w:val="28"/>
          <w:lang w:eastAsia="ru-RU"/>
        </w:rPr>
        <w:t>Наиболее полно оценить уровень следования компаний принципам устойчивого развития не позволяют проблемы, связанные с раскрытием данных и отсутствием общепринятой методологии расчетов по ряду параметров. От компаний поступало много вопросов по расчету устойчивых инвестиций, хотя, казалось бы, критерии утверждены распоряжением правительства. В результате этот показатель был учтен только для финансового сектора.</w:t>
      </w:r>
    </w:p>
    <w:p w:rsidR="00C504DB" w:rsidRPr="00086526" w:rsidRDefault="00C504DB" w:rsidP="00C50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526">
        <w:rPr>
          <w:rFonts w:ascii="Times New Roman" w:hAnsi="Times New Roman" w:cs="Times New Roman"/>
          <w:sz w:val="28"/>
          <w:szCs w:val="28"/>
          <w:lang w:eastAsia="ru-RU"/>
        </w:rPr>
        <w:t>Эксперты считают, что по мере сближения различных стандартов раскрытия нефинансовой информации либо в связи с переходом на единый общепринятый стандарт, как в случае с финансовой отчетностью, степень единообразия раскрываемых показателей будет повышаться, будет расти спрос на аудит публикуемых данных.</w:t>
      </w:r>
    </w:p>
    <w:p w:rsidR="00C504DB" w:rsidRPr="00086526" w:rsidRDefault="00C504DB" w:rsidP="00C50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6526">
        <w:rPr>
          <w:rFonts w:ascii="Times New Roman" w:hAnsi="Times New Roman" w:cs="Times New Roman"/>
          <w:sz w:val="28"/>
          <w:szCs w:val="28"/>
          <w:lang w:eastAsia="ru-RU"/>
        </w:rPr>
        <w:t>Важным элементом ESG-стратегий также остается информирование и обучение по вопросам устойчивого разви</w:t>
      </w:r>
      <w:r>
        <w:rPr>
          <w:rFonts w:ascii="Times New Roman" w:hAnsi="Times New Roman" w:cs="Times New Roman"/>
          <w:sz w:val="28"/>
          <w:szCs w:val="28"/>
          <w:lang w:eastAsia="ru-RU"/>
        </w:rPr>
        <w:t>тия -</w:t>
      </w:r>
      <w:r w:rsidRPr="00086526">
        <w:rPr>
          <w:rFonts w:ascii="Times New Roman" w:hAnsi="Times New Roman" w:cs="Times New Roman"/>
          <w:sz w:val="28"/>
          <w:szCs w:val="28"/>
          <w:lang w:eastAsia="ru-RU"/>
        </w:rPr>
        <w:t xml:space="preserve"> именно позиции квалифицированного имплементатора ESG-практик (для сотрудников) и квалифицированного пользователя информации (для внешних стейкхолдеров) позволят вывести эту тему из области «неоднозначной повестки» и PR в зону обеспечения реальных конкурентных преимуществ для бизнеса, повышения благополучия населения и социального развития общества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>[5]</w:t>
      </w:r>
      <w:r w:rsidRPr="0008652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72E5C" w:rsidRDefault="00772E5C"/>
    <w:p w:rsidR="00491644" w:rsidRDefault="00491644"/>
    <w:p w:rsidR="00491644" w:rsidRPr="00CF6835" w:rsidRDefault="00491644" w:rsidP="00CF683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F683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Место России в рейтинге стран по устойч</w:t>
      </w:r>
      <w:r w:rsidR="0016311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ивому развитию по состоянию на 2024</w:t>
      </w:r>
      <w:r w:rsidRPr="00CF683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г.</w:t>
      </w:r>
    </w:p>
    <w:p w:rsidR="00491644" w:rsidRDefault="00491644" w:rsidP="004916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91644" w:rsidRDefault="00491644" w:rsidP="004916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данный момент Россия достигла одной из 17 целей, а также активно продвинулась в достижении еще одной. В достижении еще восьми целей наблюдается положительная динамика. В борьбе с изменениями климата ситуация ухудшилась. Остальные шесть целей находятся в состоянии стагнации. Лучшие результаты как и еще 14 стран региона Восточной Европы, Россия достигла цели по ликвидации бедности. Только 0,5% населения живут меньше, чем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2,15 доллара в день, а 0,8% 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меньше, чем на 3,85 доллара в день при цели в 3,0% или меньше. Также Россия ощутимо продвинулась в вопросах партнерства для достижения ЦУР: с 2021 года выросли государственные расходы на образование и здоровье, составив 9,0% от бюджета, выросли государственные доходы, индекс корпоративных налоговых убе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жищ составил 0 -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лучшая оценка по шкале. Это комбинированный показатель Международной ассоциации налоговых специалистов, который ранжирует страны мира в соответствии с их использованием в качестве налоговых убежищ и корпоративных офшорных 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он. Довольно высоко - на 84 из 100 -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оценено статистическое представление данных в России.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Здоровье и благосостояние Положительная динамика наблюдается относительно цели «Здоровье и благосостояние». Россия уже достигла целевых показателей по уровню детской и младенческой смертности, по вакцинированию, подростковой фертильности (среди женщин) и родов в присутствии медицинского персонала. Тем не менее в России 10 из 10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 тысяч человек погибают в ДТП 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целевым показателем считается 8 человек, и его достигла вся Западная Европа.39 человек из 100 тысяч в России болеют ту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беркулезом 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количество снизилось за последний год, но целевой показатель не достигнут. Для сравнения: в скандинавских странах на 100 тысяч человек 3–4 случая туберкулеза, во Франции, Германии, Испан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ии 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5–7 случаев.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Снизилась ожи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даемая продолжительность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жизни 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сейчас в России она составляет 69,4 года. Схожее значение у Ирака, Узбекистана, Киргизии, Монголии. Са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мая высокая продолжительность 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Австралии и Японии, она составляет около 84 лет. Стагнирует в России показатель субъективного бла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гополучия 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5,9 из 10, на 0,4 пункта ниже, чем в Казахстане, и почти на 2 пункта ниже, чем в Финляндии.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Экономическое развитие, технологии, инновации и образование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п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этим двум целям был достигнут прогресс за 2023 год. Состояние образования в России лучше, чем по миру в целом. 99,9% жителей страны умеют читать, 98,1% закончили начальную школу. Неудача наблюдается только 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показателем подготовки к школе 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89,7%. Это единственный показатель, еще не достигший целевого.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В целом в России достигнуты цели экономического развития: есть рост ВВП, мало смертей в рабочее время, низкий уровень безработицы.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Относительно развития инфраструктуры в России набл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юдается одна критическая точка 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0,9% ВВП расходуются на исследования и разработки.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США это 3,46% ВВП, в Германии 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3,14%. В Бразилии на исследования расходуется 1,15% ВВП. Из-за размеров страны и состояния дорог у России плохие показатели логистического индекса, но в этой сфере есть прогресс, и показатель с 2023 года вырос. Достигнуты целевые показатели относительно обеспеченности населения доступом в Интернет, доступом к мобильной связи, доступности дорог в любое время года, уровня университетов и количества научных публикаций на 1000 человек.</w:t>
      </w:r>
    </w:p>
    <w:p w:rsidR="00491644" w:rsidRDefault="00491644" w:rsidP="004916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цели «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Равенство и справедливость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»- п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очти по всем показателям в России за год повысился уровень гендерного равенства, целевой показатель по соотношению доли женщин и мужчин в трудовой деятельности уже достигнут. Однако мест в парламенте у женщин до сих пор значительно меньше, чем у мужчин. В цели «Уменьшение неравенства» также достигнут небольшой прогресс, измеряемый в коэффициентах Джини и Пальма.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91644" w:rsidRDefault="00491644" w:rsidP="004916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борьбе с изменением климата в России наблюдается регресс. Выбросы CO2 при сжигании ископаемого топлива и производстве цемента увеличились, выбросы парниковых газов остались на том же уровне. 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Выбросов азота также стало больше, на по-прежнему высоком уровне остается количество электронного мусора на душу населения. Загрязнение воздуха осталось на том же уровне, из-за чего цель «Разумное потребление» находится в состоянии стагнации, хотя целевой показатель по экспорту пластикового мусора в России достиг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нут. 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Важным моментом является то, что обязательства в области борьбы с климатическими изменениями и повышением энергоэффективности рассматриваются практически на каждом из регулярных саммитов стран </w:t>
      </w:r>
      <w:r w:rsidRPr="007460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БРИКС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, а также входят в дорожную карту энергетического сотрудничества БРИКС до 2025 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91644" w:rsidRDefault="00491644" w:rsidP="004916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Также российское председательство 2015 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инициировало регулярное проведение встреч на уровне министров окружающей среды стран объединения с целью активизации сотрудничества. В 2015 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состоялась первая такая встреча министров. С тех пор закрепилась практика ежегодно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 проведения таких встреч.</w:t>
      </w:r>
    </w:p>
    <w:p w:rsidR="00491644" w:rsidRDefault="00491644" w:rsidP="004916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В России сни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зился индекс чистоты океана 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 составил 60,6, что на 20 пунктов ниже, чем в Австралии, Финляндии и Канаде, и на одном уровне с Мавританией. 36,6% улова Россия получает из чрезмерно эксплуатируемых или истощенных запасов, при этом 23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,0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% пойманной рыбы выбрасывается. Поэтому ситуация с сохранением биоразнообразия в воде в России остается критической, как и с сохранением жизни на Земле. Тем не менее в России нет обезле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сения 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этот целевой показатель в стране достигнут.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91644" w:rsidRDefault="00491644" w:rsidP="004916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Отсутствует прогресс в преодолении голода: несмотря на низкий показатель недоедания (2,5%), 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,0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% взрослого населения страдают от ожирения, что влияет на достижение цели ликвидации голода. Также критическим показателем в этой цели для России является индекс устойчивого регулирования содержания азо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 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нем учитывается эффективность использования азота и эффективность использования сельскохозяйственных земель. В России он находится на одном уровне с Индией, Испанией и Кана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дой - 0,8, но цель 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0,3. Ее достигли всего несколько стран по всему земному шару, например Аргентина, Сербия и Румыния.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91644" w:rsidRDefault="00491644" w:rsidP="004916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Также в состоянии стагнации находится чистая энергетика и доступность энергии для населения. Хотя 100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,0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% населения имеет доступ к электричеству, лишь 72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,0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% имеют доступ к экологически чистому топливу, и этот показатель упал с 2023 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Доля возобновляемых источников энергии в общем конечном потреблении энергии составила 3,7%, тогда как в Норве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гии и Швеции –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,0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58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,0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% соответственно, а в Беларуси и Япо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нии 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около 8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,0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%.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мировой тенденцией темпы России в достижении целей устойчивого развития замедлились. Финансирование экологической и социальной политики остается недостаточным, чтобы достичь целей устойчивого развития в 2030 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Тем не менее Россия занята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56-е место из почти 200 стран -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это указывает на потенциал движения к целям, которые обеспечат устойчивое развитие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[11]</w:t>
      </w:r>
      <w:r w:rsidRPr="0079418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91644" w:rsidRDefault="00491644" w:rsidP="004916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91644" w:rsidRDefault="00491644" w:rsidP="004916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91644" w:rsidRDefault="00491644"/>
    <w:p w:rsidR="00491644" w:rsidRDefault="00491644"/>
    <w:p w:rsidR="00491644" w:rsidRDefault="00491644"/>
    <w:p w:rsidR="00491644" w:rsidRDefault="00491644"/>
    <w:p w:rsidR="00491644" w:rsidRDefault="00491644"/>
    <w:p w:rsidR="00491644" w:rsidRDefault="00491644"/>
    <w:p w:rsidR="00491644" w:rsidRDefault="00491644"/>
    <w:sectPr w:rsidR="00491644" w:rsidSect="00772E5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D45" w:rsidRDefault="002D4D45" w:rsidP="00E35AD8">
      <w:pPr>
        <w:spacing w:after="0" w:line="240" w:lineRule="auto"/>
      </w:pPr>
      <w:r>
        <w:separator/>
      </w:r>
    </w:p>
  </w:endnote>
  <w:endnote w:type="continuationSeparator" w:id="1">
    <w:p w:rsidR="002D4D45" w:rsidRDefault="002D4D45" w:rsidP="00E35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D45" w:rsidRDefault="002D4D45" w:rsidP="00E35AD8">
      <w:pPr>
        <w:spacing w:after="0" w:line="240" w:lineRule="auto"/>
      </w:pPr>
      <w:r>
        <w:separator/>
      </w:r>
    </w:p>
  </w:footnote>
  <w:footnote w:type="continuationSeparator" w:id="1">
    <w:p w:rsidR="002D4D45" w:rsidRDefault="002D4D45" w:rsidP="00E35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D8" w:rsidRPr="00E35AD8" w:rsidRDefault="00E35AD8" w:rsidP="00E35AD8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E35AD8">
      <w:rPr>
        <w:rFonts w:ascii="Times New Roman" w:hAnsi="Times New Roman" w:cs="Times New Roman"/>
        <w:sz w:val="24"/>
        <w:szCs w:val="24"/>
      </w:rPr>
      <w:t>ПРИЛОЖЕНИЕ 2</w:t>
    </w:r>
  </w:p>
  <w:p w:rsidR="00E35AD8" w:rsidRDefault="00E35AD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04DB"/>
    <w:rsid w:val="00163115"/>
    <w:rsid w:val="002D4D45"/>
    <w:rsid w:val="00491644"/>
    <w:rsid w:val="0050381E"/>
    <w:rsid w:val="006F5D9F"/>
    <w:rsid w:val="00772E5C"/>
    <w:rsid w:val="00B935A7"/>
    <w:rsid w:val="00C37494"/>
    <w:rsid w:val="00C504DB"/>
    <w:rsid w:val="00CB66BD"/>
    <w:rsid w:val="00CF6835"/>
    <w:rsid w:val="00E3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AD8"/>
  </w:style>
  <w:style w:type="paragraph" w:styleId="a5">
    <w:name w:val="footer"/>
    <w:basedOn w:val="a"/>
    <w:link w:val="a6"/>
    <w:uiPriority w:val="99"/>
    <w:semiHidden/>
    <w:unhideWhenUsed/>
    <w:rsid w:val="00E35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35AD8"/>
  </w:style>
  <w:style w:type="paragraph" w:styleId="a7">
    <w:name w:val="Balloon Text"/>
    <w:basedOn w:val="a"/>
    <w:link w:val="a8"/>
    <w:uiPriority w:val="99"/>
    <w:semiHidden/>
    <w:unhideWhenUsed/>
    <w:rsid w:val="00E35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5A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1786</Words>
  <Characters>10183</Characters>
  <Application>Microsoft Office Word</Application>
  <DocSecurity>0</DocSecurity>
  <Lines>84</Lines>
  <Paragraphs>23</Paragraphs>
  <ScaleCrop>false</ScaleCrop>
  <Company/>
  <LinksUpToDate>false</LinksUpToDate>
  <CharactersWithSpaces>11946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dcterms:created xsi:type="dcterms:W3CDTF">2025-02-03T23:45:00Z</dcterms:created>
  <dcterms:modified xsi:type="dcterms:W3CDTF">2025-02-03T23:48:00Z</dcterms:modified>
</cp:coreProperties>
</file>